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仿宋" w:hAnsi="仿宋" w:eastAsia="仿宋" w:cs="仿宋"/>
          <w:b/>
          <w:bCs/>
          <w:i w:val="0"/>
          <w:iCs w:val="0"/>
          <w:caps w:val="0"/>
          <w:color w:val="333333"/>
          <w:spacing w:val="0"/>
          <w:sz w:val="36"/>
          <w:szCs w:val="36"/>
          <w:lang w:val="en-US" w:eastAsia="zh-CN"/>
        </w:rPr>
      </w:pPr>
      <w:r>
        <w:rPr>
          <w:rFonts w:hint="eastAsia" w:ascii="仿宋" w:hAnsi="仿宋" w:eastAsia="仿宋" w:cs="仿宋"/>
          <w:b/>
          <w:bCs/>
          <w:i w:val="0"/>
          <w:iCs w:val="0"/>
          <w:caps w:val="0"/>
          <w:color w:val="333333"/>
          <w:spacing w:val="0"/>
          <w:sz w:val="36"/>
          <w:szCs w:val="36"/>
          <w:lang w:val="en-US" w:eastAsia="zh-CN"/>
        </w:rPr>
        <w:t>临床与基础医学院（基础医学研究所）</w:t>
      </w:r>
    </w:p>
    <w:p>
      <w:pPr>
        <w:spacing w:line="220" w:lineRule="atLeast"/>
        <w:rPr>
          <w:rFonts w:hint="eastAsia"/>
        </w:rPr>
      </w:pPr>
    </w:p>
    <w:p>
      <w:pPr>
        <w:spacing w:line="2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2020年6月和2022年3月，校（院）党委先后决定将基础医学院、临床医学院和省医科院基础医学研究所进行实质性融合，组建临床与基础医学院（基础医学研究所），是特色鲜明的医、教、研协同融合学院。 </w:t>
      </w:r>
    </w:p>
    <w:p>
      <w:pPr>
        <w:spacing w:line="2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临床与基础医学院（基础医学研究所）是校（院）师资、教学、科研、学科和专业建设的主要支撑点，实施科教融合、产学研结合的骨干单位，在探索科教融合发展中承担着重大使命。基础医学院前身为成立于1985年的泰医基础医学部，2010年更名为基础医学院；省医科院基础医学研究所于1983年建立，具有良好的学术研究底蕴和合作交流基础，培养出崔正言、许海修、田志刚（中国工程院院士）、孟祥金（美国科学院院士）等国内外知名专家，为3个省级学会挂靠单位。临床医学专业是百年传承、独立办学近50年传统优势专业，一批老专家及教授是我国临床医学奠基者和开拓人之一。特别是落实山东省委科教融合重大决策部署，临床医学专业得到了快速发展。2020年8月18日成立临床医学院。</w:t>
      </w:r>
    </w:p>
    <w:p>
      <w:pPr>
        <w:spacing w:line="2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院（所）现有教职工260人，正高级39人，副高级90人，博士131人，国家杰青1人，国家百千万人才1人，全国优秀教师1人，青年长江学者1人，国务院特贴3人，泰山学者等省部级人才17人。</w:t>
      </w:r>
    </w:p>
    <w:p>
      <w:pPr>
        <w:spacing w:line="220" w:lineRule="atLeast"/>
        <w:ind w:firstLine="270"/>
        <w:rPr>
          <w:rFonts w:hint="eastAsia" w:ascii="仿宋" w:hAnsi="仿宋" w:eastAsia="仿宋" w:cs="仿宋"/>
          <w:sz w:val="28"/>
          <w:szCs w:val="28"/>
        </w:rPr>
      </w:pPr>
      <w:r>
        <w:rPr>
          <w:rFonts w:hint="eastAsia" w:ascii="仿宋" w:hAnsi="仿宋" w:eastAsia="仿宋" w:cs="仿宋"/>
          <w:sz w:val="28"/>
          <w:szCs w:val="28"/>
        </w:rPr>
        <w:t xml:space="preserve">   负责管理</w:t>
      </w:r>
      <w:r>
        <w:rPr>
          <w:rFonts w:hint="eastAsia" w:ascii="仿宋" w:hAnsi="仿宋" w:eastAsia="仿宋" w:cs="仿宋"/>
          <w:b/>
          <w:bCs/>
          <w:sz w:val="28"/>
          <w:szCs w:val="28"/>
        </w:rPr>
        <w:t>临床医学、医学实验技术和麻醉学</w:t>
      </w:r>
      <w:r>
        <w:rPr>
          <w:rFonts w:hint="eastAsia" w:ascii="仿宋" w:hAnsi="仿宋" w:eastAsia="仿宋" w:cs="仿宋"/>
          <w:sz w:val="28"/>
          <w:szCs w:val="28"/>
        </w:rPr>
        <w:t xml:space="preserve">三个本科专业，临床医学先后被评为省级、国家级特色专业、卓越医生项目、省高水平应用型核心专业、省新旧动能转换对接产业核心专业和国家一流本科专业建设点。临床医学专业自2017年进入ESI前1%，2022年ESI内地高校排名第20名。 </w:t>
      </w:r>
    </w:p>
    <w:p>
      <w:pPr>
        <w:spacing w:line="2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国务院批准的首批硕士研究生培养单位，现有基础医学一级学科硕士学位授权点和7个二级学科硕士学位授权点。</w:t>
      </w:r>
    </w:p>
    <w:p>
      <w:pPr>
        <w:spacing w:line="2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现有</w:t>
      </w:r>
      <w:r>
        <w:rPr>
          <w:rFonts w:hint="eastAsia" w:ascii="仿宋" w:hAnsi="仿宋" w:eastAsia="仿宋" w:cs="仿宋"/>
          <w:b/>
          <w:bCs/>
          <w:sz w:val="28"/>
          <w:szCs w:val="28"/>
        </w:rPr>
        <w:t>5</w:t>
      </w:r>
      <w:r>
        <w:rPr>
          <w:rFonts w:hint="eastAsia" w:ascii="仿宋" w:hAnsi="仿宋" w:eastAsia="仿宋" w:cs="仿宋"/>
          <w:sz w:val="28"/>
          <w:szCs w:val="28"/>
        </w:rPr>
        <w:t>个省部级和</w:t>
      </w:r>
      <w:r>
        <w:rPr>
          <w:rFonts w:hint="eastAsia" w:ascii="仿宋" w:hAnsi="仿宋" w:eastAsia="仿宋" w:cs="仿宋"/>
          <w:b/>
          <w:bCs/>
          <w:sz w:val="28"/>
          <w:szCs w:val="28"/>
        </w:rPr>
        <w:t>4</w:t>
      </w:r>
      <w:r>
        <w:rPr>
          <w:rFonts w:hint="eastAsia" w:ascii="仿宋" w:hAnsi="仿宋" w:eastAsia="仿宋" w:cs="仿宋"/>
          <w:sz w:val="28"/>
          <w:szCs w:val="28"/>
        </w:rPr>
        <w:t>个厅级科研平台，</w:t>
      </w:r>
      <w:r>
        <w:rPr>
          <w:rFonts w:hint="eastAsia" w:ascii="仿宋" w:hAnsi="仿宋" w:eastAsia="仿宋" w:cs="仿宋"/>
          <w:b/>
          <w:bCs/>
          <w:sz w:val="28"/>
          <w:szCs w:val="28"/>
        </w:rPr>
        <w:t>2</w:t>
      </w:r>
      <w:r>
        <w:rPr>
          <w:rFonts w:hint="eastAsia" w:ascii="仿宋" w:hAnsi="仿宋" w:eastAsia="仿宋" w:cs="仿宋"/>
          <w:sz w:val="28"/>
          <w:szCs w:val="28"/>
        </w:rPr>
        <w:t>个资质检测平台。近五年主持省部级以上科研项目</w:t>
      </w:r>
      <w:r>
        <w:rPr>
          <w:rFonts w:hint="eastAsia" w:ascii="仿宋" w:hAnsi="仿宋" w:eastAsia="仿宋" w:cs="仿宋"/>
          <w:b/>
          <w:bCs/>
          <w:sz w:val="28"/>
          <w:szCs w:val="28"/>
        </w:rPr>
        <w:t>109</w:t>
      </w:r>
      <w:r>
        <w:rPr>
          <w:rFonts w:hint="eastAsia" w:ascii="仿宋" w:hAnsi="仿宋" w:eastAsia="仿宋" w:cs="仿宋"/>
          <w:sz w:val="28"/>
          <w:szCs w:val="28"/>
        </w:rPr>
        <w:t>项，其中国家级项目</w:t>
      </w:r>
      <w:r>
        <w:rPr>
          <w:rFonts w:hint="eastAsia" w:ascii="仿宋" w:hAnsi="仿宋" w:eastAsia="仿宋" w:cs="仿宋"/>
          <w:b/>
          <w:bCs/>
          <w:sz w:val="28"/>
          <w:szCs w:val="28"/>
        </w:rPr>
        <w:t>39</w:t>
      </w:r>
      <w:r>
        <w:rPr>
          <w:rFonts w:hint="eastAsia" w:ascii="仿宋" w:hAnsi="仿宋" w:eastAsia="仿宋" w:cs="仿宋"/>
          <w:sz w:val="28"/>
          <w:szCs w:val="28"/>
        </w:rPr>
        <w:t>项，科研经费</w:t>
      </w:r>
      <w:r>
        <w:rPr>
          <w:rFonts w:hint="eastAsia" w:ascii="仿宋" w:hAnsi="仿宋" w:eastAsia="仿宋" w:cs="仿宋"/>
          <w:b/>
          <w:bCs/>
          <w:sz w:val="28"/>
          <w:szCs w:val="28"/>
        </w:rPr>
        <w:t>4000</w:t>
      </w:r>
      <w:r>
        <w:rPr>
          <w:rFonts w:hint="eastAsia" w:ascii="仿宋" w:hAnsi="仿宋" w:eastAsia="仿宋" w:cs="仿宋"/>
          <w:sz w:val="28"/>
          <w:szCs w:val="28"/>
        </w:rPr>
        <w:t>余万元，研究成果发表在</w:t>
      </w:r>
      <w:r>
        <w:rPr>
          <w:rFonts w:hint="eastAsia" w:ascii="仿宋" w:hAnsi="仿宋" w:eastAsia="仿宋" w:cs="仿宋"/>
          <w:b/>
          <w:bCs/>
          <w:sz w:val="28"/>
          <w:szCs w:val="28"/>
        </w:rPr>
        <w:t>《Nature》《Lancet》《Gut》《Lancet Microbe》</w:t>
      </w:r>
      <w:r>
        <w:rPr>
          <w:rFonts w:hint="eastAsia" w:ascii="仿宋" w:hAnsi="仿宋" w:eastAsia="仿宋" w:cs="仿宋"/>
          <w:sz w:val="28"/>
          <w:szCs w:val="28"/>
        </w:rPr>
        <w:t>等期刊；获厅局级及以上科技奖励</w:t>
      </w:r>
      <w:r>
        <w:rPr>
          <w:rFonts w:hint="eastAsia" w:ascii="仿宋" w:hAnsi="仿宋" w:eastAsia="仿宋" w:cs="仿宋"/>
          <w:b/>
          <w:bCs/>
          <w:sz w:val="28"/>
          <w:szCs w:val="28"/>
        </w:rPr>
        <w:t>13</w:t>
      </w:r>
      <w:r>
        <w:rPr>
          <w:rFonts w:hint="eastAsia" w:ascii="仿宋" w:hAnsi="仿宋" w:eastAsia="仿宋" w:cs="仿宋"/>
          <w:sz w:val="28"/>
          <w:szCs w:val="28"/>
        </w:rPr>
        <w:t>项，省级教学成果奖</w:t>
      </w:r>
      <w:r>
        <w:rPr>
          <w:rFonts w:hint="eastAsia" w:ascii="仿宋" w:hAnsi="仿宋" w:eastAsia="仿宋" w:cs="仿宋"/>
          <w:b/>
          <w:bCs/>
          <w:sz w:val="28"/>
          <w:szCs w:val="28"/>
        </w:rPr>
        <w:t>3</w:t>
      </w:r>
      <w:r>
        <w:rPr>
          <w:rFonts w:hint="eastAsia" w:ascii="仿宋" w:hAnsi="仿宋" w:eastAsia="仿宋" w:cs="仿宋"/>
          <w:sz w:val="28"/>
          <w:szCs w:val="28"/>
        </w:rPr>
        <w:t>项。</w:t>
      </w:r>
    </w:p>
    <w:p>
      <w:pPr>
        <w:spacing w:line="2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自2020年6月学院（所）成立以来，新上各级科技计划</w:t>
      </w:r>
      <w:r>
        <w:rPr>
          <w:rFonts w:hint="eastAsia" w:ascii="仿宋" w:hAnsi="仿宋" w:eastAsia="仿宋" w:cs="仿宋"/>
          <w:b/>
          <w:bCs/>
          <w:sz w:val="28"/>
          <w:szCs w:val="28"/>
        </w:rPr>
        <w:t>77</w:t>
      </w:r>
      <w:r>
        <w:rPr>
          <w:rFonts w:hint="eastAsia" w:ascii="仿宋" w:hAnsi="仿宋" w:eastAsia="仿宋" w:cs="仿宋"/>
          <w:sz w:val="28"/>
          <w:szCs w:val="28"/>
        </w:rPr>
        <w:t>项，其中国家级项目</w:t>
      </w:r>
      <w:r>
        <w:rPr>
          <w:rFonts w:hint="eastAsia" w:ascii="仿宋" w:hAnsi="仿宋" w:eastAsia="仿宋" w:cs="仿宋"/>
          <w:b/>
          <w:bCs/>
          <w:sz w:val="28"/>
          <w:szCs w:val="28"/>
        </w:rPr>
        <w:t>26</w:t>
      </w:r>
      <w:r>
        <w:rPr>
          <w:rFonts w:hint="eastAsia" w:ascii="仿宋" w:hAnsi="仿宋" w:eastAsia="仿宋" w:cs="仿宋"/>
          <w:sz w:val="28"/>
          <w:szCs w:val="28"/>
        </w:rPr>
        <w:t>项（国家基金项目22项、科技部应急攻关项目1项、国家重点研发计划项目1项，博士后项目2项）、省部级项目</w:t>
      </w:r>
      <w:r>
        <w:rPr>
          <w:rFonts w:hint="eastAsia" w:ascii="仿宋" w:hAnsi="仿宋" w:eastAsia="仿宋" w:cs="仿宋"/>
          <w:b/>
          <w:bCs/>
          <w:sz w:val="28"/>
          <w:szCs w:val="28"/>
        </w:rPr>
        <w:t>37</w:t>
      </w:r>
      <w:r>
        <w:rPr>
          <w:rFonts w:hint="eastAsia" w:ascii="仿宋" w:hAnsi="仿宋" w:eastAsia="仿宋" w:cs="仿宋"/>
          <w:sz w:val="28"/>
          <w:szCs w:val="28"/>
        </w:rPr>
        <w:t>项（其中省优青项目1项）、厅局级项目</w:t>
      </w:r>
      <w:r>
        <w:rPr>
          <w:rFonts w:hint="eastAsia" w:ascii="仿宋" w:hAnsi="仿宋" w:eastAsia="仿宋" w:cs="仿宋"/>
          <w:b/>
          <w:bCs/>
          <w:sz w:val="28"/>
          <w:szCs w:val="28"/>
        </w:rPr>
        <w:t>24</w:t>
      </w:r>
      <w:r>
        <w:rPr>
          <w:rFonts w:hint="eastAsia" w:ascii="仿宋" w:hAnsi="仿宋" w:eastAsia="仿宋" w:cs="仿宋"/>
          <w:sz w:val="28"/>
          <w:szCs w:val="28"/>
        </w:rPr>
        <w:t>项，新增科研经费突破</w:t>
      </w:r>
      <w:r>
        <w:rPr>
          <w:rFonts w:hint="eastAsia" w:ascii="仿宋" w:hAnsi="仿宋" w:eastAsia="仿宋" w:cs="仿宋"/>
          <w:b/>
          <w:bCs/>
          <w:sz w:val="28"/>
          <w:szCs w:val="28"/>
        </w:rPr>
        <w:t>2000</w:t>
      </w:r>
      <w:r>
        <w:rPr>
          <w:rFonts w:hint="eastAsia" w:ascii="仿宋" w:hAnsi="仿宋" w:eastAsia="仿宋" w:cs="仿宋"/>
          <w:sz w:val="28"/>
          <w:szCs w:val="28"/>
        </w:rPr>
        <w:t>万元。首次获得中国工程院山东战略研究院课题</w:t>
      </w:r>
      <w:r>
        <w:rPr>
          <w:rFonts w:hint="eastAsia" w:ascii="仿宋" w:hAnsi="仿宋" w:eastAsia="仿宋" w:cs="仿宋"/>
          <w:b/>
          <w:bCs/>
          <w:sz w:val="28"/>
          <w:szCs w:val="28"/>
        </w:rPr>
        <w:t>2</w:t>
      </w:r>
      <w:r>
        <w:rPr>
          <w:rFonts w:hint="eastAsia" w:ascii="仿宋" w:hAnsi="仿宋" w:eastAsia="仿宋" w:cs="仿宋"/>
          <w:sz w:val="28"/>
          <w:szCs w:val="28"/>
        </w:rPr>
        <w:t>项，经费100万元，首次获得中央转移地方科技专项</w:t>
      </w:r>
      <w:r>
        <w:rPr>
          <w:rFonts w:hint="eastAsia" w:ascii="仿宋" w:hAnsi="仿宋" w:eastAsia="仿宋" w:cs="仿宋"/>
          <w:b/>
          <w:bCs/>
          <w:sz w:val="28"/>
          <w:szCs w:val="28"/>
        </w:rPr>
        <w:t>1</w:t>
      </w:r>
      <w:r>
        <w:rPr>
          <w:rFonts w:hint="eastAsia" w:ascii="仿宋" w:hAnsi="仿宋" w:eastAsia="仿宋" w:cs="仿宋"/>
          <w:sz w:val="28"/>
          <w:szCs w:val="28"/>
        </w:rPr>
        <w:t>项，经费50万元。</w:t>
      </w:r>
    </w:p>
    <w:p>
      <w:pPr>
        <w:spacing w:line="220" w:lineRule="atLeast"/>
        <w:ind w:firstLine="270"/>
        <w:rPr>
          <w:rFonts w:hint="eastAsia" w:ascii="仿宋" w:hAnsi="仿宋" w:eastAsia="仿宋" w:cs="仿宋"/>
          <w:sz w:val="28"/>
          <w:szCs w:val="28"/>
        </w:rPr>
      </w:pPr>
      <w:r>
        <w:rPr>
          <w:rFonts w:hint="eastAsia" w:ascii="仿宋" w:hAnsi="仿宋" w:eastAsia="仿宋" w:cs="仿宋"/>
          <w:sz w:val="28"/>
          <w:szCs w:val="28"/>
        </w:rPr>
        <w:t xml:space="preserve">   获得山东省高等学校科学技术二等奖、三等奖各1项；获得中国山东博士后创新创业奖；获得山东省首届科普讲解大赛一等奖1项。以第一或通讯作者发表SCI收录论文</w:t>
      </w:r>
      <w:r>
        <w:rPr>
          <w:rFonts w:hint="eastAsia" w:ascii="仿宋" w:hAnsi="仿宋" w:eastAsia="仿宋" w:cs="仿宋"/>
          <w:b/>
          <w:bCs/>
          <w:sz w:val="28"/>
          <w:szCs w:val="28"/>
        </w:rPr>
        <w:t>198</w:t>
      </w:r>
      <w:r>
        <w:rPr>
          <w:rFonts w:hint="eastAsia" w:ascii="仿宋" w:hAnsi="仿宋" w:eastAsia="仿宋" w:cs="仿宋"/>
          <w:sz w:val="28"/>
          <w:szCs w:val="28"/>
        </w:rPr>
        <w:t>篇、中文期刊论文</w:t>
      </w:r>
      <w:r>
        <w:rPr>
          <w:rFonts w:hint="eastAsia" w:ascii="仿宋" w:hAnsi="仿宋" w:eastAsia="仿宋" w:cs="仿宋"/>
          <w:b/>
          <w:bCs/>
          <w:sz w:val="28"/>
          <w:szCs w:val="28"/>
        </w:rPr>
        <w:t>73</w:t>
      </w:r>
      <w:r>
        <w:rPr>
          <w:rFonts w:hint="eastAsia" w:ascii="仿宋" w:hAnsi="仿宋" w:eastAsia="仿宋" w:cs="仿宋"/>
          <w:sz w:val="28"/>
          <w:szCs w:val="28"/>
        </w:rPr>
        <w:t>篇。影响因子10分以上</w:t>
      </w:r>
      <w:r>
        <w:rPr>
          <w:rFonts w:hint="eastAsia" w:ascii="仿宋" w:hAnsi="仿宋" w:eastAsia="仿宋" w:cs="仿宋"/>
          <w:b/>
          <w:bCs/>
          <w:sz w:val="28"/>
          <w:szCs w:val="28"/>
        </w:rPr>
        <w:t>24</w:t>
      </w:r>
      <w:r>
        <w:rPr>
          <w:rFonts w:hint="eastAsia" w:ascii="仿宋" w:hAnsi="仿宋" w:eastAsia="仿宋" w:cs="仿宋"/>
          <w:sz w:val="28"/>
          <w:szCs w:val="28"/>
        </w:rPr>
        <w:t>篇（单篇最高86.208），总影响因子</w:t>
      </w:r>
      <w:r>
        <w:rPr>
          <w:rFonts w:hint="eastAsia" w:ascii="仿宋" w:hAnsi="仿宋" w:eastAsia="仿宋" w:cs="仿宋"/>
          <w:b/>
          <w:bCs/>
          <w:sz w:val="28"/>
          <w:szCs w:val="28"/>
        </w:rPr>
        <w:t>1,688.579</w:t>
      </w:r>
      <w:r>
        <w:rPr>
          <w:rFonts w:hint="eastAsia" w:ascii="仿宋" w:hAnsi="仿宋" w:eastAsia="仿宋" w:cs="仿宋"/>
          <w:sz w:val="28"/>
          <w:szCs w:val="28"/>
        </w:rPr>
        <w:t>。授权国家发明专利</w:t>
      </w:r>
      <w:r>
        <w:rPr>
          <w:rFonts w:hint="eastAsia" w:ascii="仿宋" w:hAnsi="仿宋" w:eastAsia="仿宋" w:cs="仿宋"/>
          <w:b/>
          <w:bCs/>
          <w:sz w:val="28"/>
          <w:szCs w:val="28"/>
        </w:rPr>
        <w:t>21</w:t>
      </w:r>
      <w:r>
        <w:rPr>
          <w:rFonts w:hint="eastAsia" w:ascii="仿宋" w:hAnsi="仿宋" w:eastAsia="仿宋" w:cs="仿宋"/>
          <w:sz w:val="28"/>
          <w:szCs w:val="28"/>
        </w:rPr>
        <w:t>项、实用新型专利</w:t>
      </w:r>
      <w:r>
        <w:rPr>
          <w:rFonts w:hint="eastAsia" w:ascii="仿宋" w:hAnsi="仿宋" w:eastAsia="仿宋" w:cs="仿宋"/>
          <w:b/>
          <w:bCs/>
          <w:sz w:val="28"/>
          <w:szCs w:val="28"/>
        </w:rPr>
        <w:t>4项</w:t>
      </w:r>
      <w:r>
        <w:rPr>
          <w:rFonts w:hint="eastAsia" w:ascii="仿宋" w:hAnsi="仿宋" w:eastAsia="仿宋" w:cs="仿宋"/>
          <w:sz w:val="28"/>
          <w:szCs w:val="28"/>
        </w:rPr>
        <w:t>。</w:t>
      </w:r>
    </w:p>
    <w:p>
      <w:pPr>
        <w:spacing w:line="220" w:lineRule="atLeast"/>
        <w:ind w:firstLine="270"/>
        <w:rPr>
          <w:rFonts w:hint="eastAsia" w:ascii="仿宋" w:hAnsi="仿宋" w:eastAsia="仿宋" w:cs="仿宋"/>
          <w:sz w:val="28"/>
          <w:szCs w:val="28"/>
        </w:rPr>
      </w:pPr>
      <w:r>
        <w:rPr>
          <w:rFonts w:hint="eastAsia" w:ascii="仿宋" w:hAnsi="仿宋" w:eastAsia="仿宋" w:cs="仿宋"/>
          <w:sz w:val="28"/>
          <w:szCs w:val="28"/>
        </w:rPr>
        <w:t xml:space="preserve">    以学院为依托，整合校（院）医疗资源和企业优质资源，搭建了心电领域国内第一个从基础研究到临床应用及产业化的创新平台—</w:t>
      </w:r>
      <w:r>
        <w:rPr>
          <w:rFonts w:hint="eastAsia" w:ascii="仿宋" w:hAnsi="仿宋" w:eastAsia="仿宋" w:cs="仿宋"/>
          <w:b/>
          <w:bCs/>
          <w:sz w:val="28"/>
          <w:szCs w:val="28"/>
        </w:rPr>
        <w:t>山东第一医科大学（山东省医学科学院）心电学工程实验室</w:t>
      </w:r>
      <w:r>
        <w:rPr>
          <w:rFonts w:hint="eastAsia" w:ascii="仿宋" w:hAnsi="仿宋" w:eastAsia="仿宋" w:cs="仿宋"/>
          <w:sz w:val="28"/>
          <w:szCs w:val="28"/>
        </w:rPr>
        <w:t>，填补了山东省心电相关平台的空白。</w:t>
      </w:r>
    </w:p>
    <w:p>
      <w:pPr>
        <w:spacing w:line="220" w:lineRule="atLeast"/>
        <w:ind w:firstLine="270"/>
        <w:rPr>
          <w:rFonts w:hint="eastAsia" w:ascii="仿宋" w:hAnsi="仿宋" w:eastAsia="仿宋" w:cs="仿宋"/>
          <w:sz w:val="28"/>
          <w:szCs w:val="28"/>
        </w:rPr>
      </w:pPr>
      <w:r>
        <w:rPr>
          <w:rFonts w:hint="eastAsia" w:ascii="仿宋" w:hAnsi="仿宋" w:eastAsia="仿宋" w:cs="仿宋"/>
          <w:sz w:val="28"/>
          <w:szCs w:val="28"/>
        </w:rPr>
        <w:t xml:space="preserve">   并以此工程实验室为基础于2021年获山东省发展和改革委员会批准“</w:t>
      </w:r>
      <w:r>
        <w:rPr>
          <w:rFonts w:hint="eastAsia" w:ascii="仿宋" w:hAnsi="仿宋" w:eastAsia="仿宋" w:cs="仿宋"/>
          <w:b/>
          <w:bCs/>
          <w:sz w:val="28"/>
          <w:szCs w:val="28"/>
        </w:rPr>
        <w:t>心电信息山东省工程研究中心</w:t>
      </w:r>
      <w:r>
        <w:rPr>
          <w:rFonts w:hint="eastAsia" w:ascii="仿宋" w:hAnsi="仿宋" w:eastAsia="仿宋" w:cs="仿宋"/>
          <w:sz w:val="28"/>
          <w:szCs w:val="28"/>
        </w:rPr>
        <w:t xml:space="preserve">”。 </w:t>
      </w:r>
    </w:p>
    <w:p>
      <w:pPr>
        <w:spacing w:line="2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充分发挥科技优势，整合技术力量，全面打造医学检测与安全性评价中心、司法鉴定所2个资质检测平台，打造省内高水平、司法鉴定机构，全面提升成果转化水平。</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YzY1ODMwMGY4MDU0M2Y5NzFmYWM1MGU1MTFmYTAifQ=="/>
  </w:docVars>
  <w:rsids>
    <w:rsidRoot w:val="00000000"/>
    <w:rsid w:val="09370233"/>
    <w:rsid w:val="2BF01B2F"/>
    <w:rsid w:val="2F330553"/>
    <w:rsid w:val="40AF7808"/>
    <w:rsid w:val="40F46447"/>
    <w:rsid w:val="4BDD66FE"/>
    <w:rsid w:val="600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ind w:firstLine="0" w:firstLineChars="0"/>
      <w:outlineLvl w:val="0"/>
    </w:pPr>
    <w:rPr>
      <w:rFonts w:eastAsia="微软雅黑"/>
      <w:kern w:val="44"/>
      <w:sz w:val="28"/>
    </w:rPr>
  </w:style>
  <w:style w:type="paragraph" w:styleId="5">
    <w:name w:val="heading 2"/>
    <w:basedOn w:val="1"/>
    <w:next w:val="1"/>
    <w:unhideWhenUsed/>
    <w:qFormat/>
    <w:uiPriority w:val="0"/>
    <w:pPr>
      <w:keepNext/>
      <w:keepLines/>
      <w:spacing w:beforeLines="0" w:beforeAutospacing="0" w:afterLines="0" w:afterAutospacing="0" w:line="360" w:lineRule="auto"/>
      <w:ind w:firstLine="0" w:firstLineChars="0"/>
      <w:jc w:val="center"/>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firstLine="600" w:firstLineChars="200"/>
    </w:pPr>
    <w:rPr>
      <w:sz w:val="30"/>
      <w:szCs w:val="30"/>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 w:type="paragraph" w:customStyle="1" w:styleId="13">
    <w:name w:val="Default"/>
    <w:next w:val="14"/>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4">
    <w:name w:val="_Style 3"/>
    <w:basedOn w:val="1"/>
    <w:next w:val="1"/>
    <w:qFormat/>
    <w:uiPriority w:val="0"/>
    <w:pPr>
      <w:pBdr>
        <w:bottom w:val="single" w:color="auto" w:sz="6" w:space="1"/>
      </w:pBdr>
      <w:jc w:val="center"/>
    </w:pPr>
    <w:rPr>
      <w:rFonts w:ascii="Arial" w:eastAsia="宋体"/>
      <w:vanish/>
      <w:sz w:val="16"/>
    </w:rPr>
  </w:style>
  <w:style w:type="paragraph" w:styleId="15">
    <w:name w:val="List Paragraph"/>
    <w:basedOn w:val="1"/>
    <w:qFormat/>
    <w:uiPriority w:val="34"/>
    <w:pPr>
      <w:ind w:firstLine="420" w:firstLineChars="200"/>
    </w:pPr>
  </w:style>
  <w:style w:type="paragraph" w:customStyle="1" w:styleId="16">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表格"/>
    <w:basedOn w:val="1"/>
    <w:qFormat/>
    <w:uiPriority w:val="0"/>
    <w:pPr>
      <w:widowControl/>
      <w:spacing w:line="240" w:lineRule="auto"/>
      <w:ind w:firstLine="0" w:firstLineChars="0"/>
      <w:jc w:val="center"/>
      <w:textAlignment w:val="center"/>
    </w:pPr>
    <w:rPr>
      <w:rFonts w:hint="eastAsia" w:ascii="仿宋" w:hAnsi="仿宋" w:eastAsia="仿宋" w:cs="仿宋"/>
      <w:bCs/>
      <w:color w:val="000000"/>
      <w:kern w:val="0"/>
      <w:sz w:val="20"/>
      <w:szCs w:val="20"/>
      <w:u w:val="none"/>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29772</Words>
  <Characters>31968</Characters>
  <Lines>0</Lines>
  <Paragraphs>0</Paragraphs>
  <TotalTime>4</TotalTime>
  <ScaleCrop>false</ScaleCrop>
  <LinksUpToDate>false</LinksUpToDate>
  <CharactersWithSpaces>32105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2023-03-30T09:21:00Z</dcterms:created>
  <dc:creator>admin</dc:creator>
  <cp:lastModifiedBy>思妤思妤</cp:lastModifiedBy>
  <dcterms:modified xsi:type="dcterms:W3CDTF">2023-04-11T08:49:22Z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949DE9A832FA40D3B08079ED6529C359_13</vt:lpwstr>
  </property>
</Properties>
</file>